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6CAEE" w14:textId="52CDA6C4" w:rsidR="00E40A09" w:rsidRPr="00CD70EF" w:rsidRDefault="00CD70EF" w:rsidP="00CD70EF">
      <w:pPr>
        <w:tabs>
          <w:tab w:val="left" w:pos="5760"/>
        </w:tabs>
        <w:spacing w:before="120" w:after="120"/>
        <w:jc w:val="center"/>
        <w:rPr>
          <w:rFonts w:ascii="Times New Roman" w:hAnsi="Times New Roman"/>
          <w:b/>
          <w:bCs/>
          <w:szCs w:val="24"/>
        </w:rPr>
      </w:pPr>
      <w:bookmarkStart w:id="0" w:name="_GoBack"/>
      <w:bookmarkEnd w:id="0"/>
      <w:r w:rsidRPr="00CD70EF">
        <w:rPr>
          <w:rFonts w:ascii="Times New Roman" w:hAnsi="Times New Roman"/>
          <w:b/>
          <w:bCs/>
          <w:szCs w:val="24"/>
        </w:rPr>
        <w:t xml:space="preserve">ADDENDUM NO. </w:t>
      </w:r>
      <w:r w:rsidRPr="00CD70EF">
        <w:rPr>
          <w:rFonts w:ascii="Times New Roman" w:hAnsi="Times New Roman"/>
          <w:b/>
          <w:bCs/>
          <w:szCs w:val="24"/>
          <w:highlight w:val="yellow"/>
        </w:rPr>
        <w:t>[]</w:t>
      </w:r>
      <w:r w:rsidRPr="00CD70EF">
        <w:rPr>
          <w:rFonts w:ascii="Times New Roman" w:hAnsi="Times New Roman"/>
          <w:b/>
          <w:bCs/>
          <w:szCs w:val="24"/>
        </w:rPr>
        <w:t xml:space="preserve"> TO THE CONSULTING SERVICES AGREEMENT BETWEEN </w:t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T</w:t>
      </w:r>
      <w:r w:rsidRPr="00CD70EF">
        <w:rPr>
          <w:rFonts w:ascii="Times New Roman" w:hAnsi="Times New Roman"/>
          <w:b/>
          <w:szCs w:val="24"/>
        </w:rPr>
        <w:t xml:space="preserve">HE </w:t>
      </w:r>
      <w:r w:rsidRPr="00CD70EF">
        <w:rPr>
          <w:rFonts w:ascii="Times New Roman" w:hAnsi="Times New Roman"/>
          <w:b/>
          <w:szCs w:val="24"/>
          <w:highlight w:val="yellow"/>
        </w:rPr>
        <w:t>[]</w:t>
      </w:r>
      <w:r w:rsidRPr="00CD70EF">
        <w:rPr>
          <w:rFonts w:ascii="Times New Roman" w:hAnsi="Times New Roman"/>
          <w:b/>
          <w:szCs w:val="24"/>
        </w:rPr>
        <w:t xml:space="preserve"> DISTRICT</w:t>
      </w:r>
      <w:r>
        <w:rPr>
          <w:rFonts w:ascii="Times New Roman" w:hAnsi="Times New Roman"/>
          <w:b/>
          <w:szCs w:val="24"/>
        </w:rPr>
        <w:t xml:space="preserve"> </w:t>
      </w:r>
      <w:r w:rsidRPr="00CD70EF">
        <w:rPr>
          <w:rFonts w:ascii="Times New Roman" w:hAnsi="Times New Roman"/>
          <w:b/>
          <w:szCs w:val="24"/>
        </w:rPr>
        <w:t>AND []</w:t>
      </w:r>
    </w:p>
    <w:p w14:paraId="2E84E34E" w14:textId="2A7EA846" w:rsidR="00CD70EF" w:rsidRPr="00CD7BE1" w:rsidRDefault="00CD70EF" w:rsidP="00CD70EF">
      <w:pPr>
        <w:tabs>
          <w:tab w:val="left" w:pos="5760"/>
        </w:tabs>
        <w:spacing w:before="120" w:after="120"/>
        <w:jc w:val="both"/>
        <w:rPr>
          <w:rFonts w:ascii="Times New Roman" w:hAnsi="Times New Roman"/>
          <w:szCs w:val="24"/>
        </w:rPr>
      </w:pPr>
      <w:r w:rsidRPr="00CD7BE1">
        <w:rPr>
          <w:rFonts w:ascii="Times New Roman" w:hAnsi="Times New Roman"/>
          <w:szCs w:val="24"/>
        </w:rPr>
        <w:t xml:space="preserve">This Addendum (“Addendum”) is made to the Consulting Services Agreement </w:t>
      </w:r>
      <w:r w:rsidR="00CD7BE1" w:rsidRPr="00CD7BE1">
        <w:rPr>
          <w:rFonts w:ascii="Times New Roman" w:hAnsi="Times New Roman"/>
          <w:szCs w:val="24"/>
        </w:rPr>
        <w:t xml:space="preserve">(“Agreement”) </w:t>
      </w:r>
      <w:r w:rsidRPr="00CD7BE1">
        <w:rPr>
          <w:rFonts w:ascii="Times New Roman" w:hAnsi="Times New Roman"/>
          <w:szCs w:val="24"/>
        </w:rPr>
        <w:t xml:space="preserve">that was entered between </w:t>
      </w:r>
      <w:r w:rsidRPr="00CD7BE1">
        <w:rPr>
          <w:rFonts w:ascii="Times New Roman" w:hAnsi="Times New Roman"/>
          <w:szCs w:val="24"/>
          <w:highlight w:val="yellow"/>
        </w:rPr>
        <w:t>[]</w:t>
      </w:r>
      <w:r w:rsidRPr="00CD7BE1">
        <w:rPr>
          <w:rFonts w:ascii="Times New Roman" w:hAnsi="Times New Roman"/>
          <w:szCs w:val="24"/>
        </w:rPr>
        <w:t xml:space="preserve"> District ("District") and </w:t>
      </w:r>
      <w:r w:rsidRPr="00CD7BE1">
        <w:rPr>
          <w:rFonts w:ascii="Times New Roman" w:hAnsi="Times New Roman"/>
          <w:szCs w:val="24"/>
          <w:highlight w:val="yellow"/>
        </w:rPr>
        <w:t>[]</w:t>
      </w:r>
      <w:r w:rsidRPr="00CD7BE1">
        <w:rPr>
          <w:rFonts w:ascii="Times New Roman" w:hAnsi="Times New Roman"/>
          <w:szCs w:val="24"/>
        </w:rPr>
        <w:t xml:space="preserve"> ("Consultant") on </w:t>
      </w:r>
      <w:r w:rsidRPr="00CD7BE1">
        <w:rPr>
          <w:rFonts w:ascii="Times New Roman" w:hAnsi="Times New Roman"/>
          <w:szCs w:val="24"/>
          <w:highlight w:val="yellow"/>
        </w:rPr>
        <w:t>[date]</w:t>
      </w:r>
      <w:r w:rsidRPr="00CD7BE1">
        <w:rPr>
          <w:rFonts w:ascii="Times New Roman" w:hAnsi="Times New Roman"/>
          <w:szCs w:val="24"/>
        </w:rPr>
        <w:t xml:space="preserve">. District and Consultant may be referred to individually herein as a "Party" or collectively as the "Parties." </w:t>
      </w:r>
    </w:p>
    <w:p w14:paraId="1330D202" w14:textId="323F76D9" w:rsidR="00CD70EF" w:rsidRPr="00CD7BE1" w:rsidRDefault="00CD70EF" w:rsidP="00CD70EF">
      <w:pPr>
        <w:tabs>
          <w:tab w:val="left" w:pos="5760"/>
        </w:tabs>
        <w:spacing w:before="120" w:after="120"/>
        <w:jc w:val="both"/>
        <w:rPr>
          <w:rFonts w:ascii="Times New Roman" w:hAnsi="Times New Roman"/>
          <w:szCs w:val="24"/>
        </w:rPr>
      </w:pPr>
      <w:r w:rsidRPr="00CD7BE1">
        <w:rPr>
          <w:rFonts w:ascii="Times New Roman" w:hAnsi="Times New Roman"/>
          <w:szCs w:val="24"/>
        </w:rPr>
        <w:t>For and in consideration of the mutual advantages to be derived therefrom, and in consideration of the execution of this Addendum by the Parties</w:t>
      </w:r>
      <w:r w:rsidR="00B20CDA">
        <w:rPr>
          <w:rFonts w:ascii="Times New Roman" w:hAnsi="Times New Roman"/>
          <w:szCs w:val="24"/>
        </w:rPr>
        <w:t>,</w:t>
      </w:r>
      <w:r w:rsidRPr="00CD7BE1">
        <w:rPr>
          <w:rFonts w:ascii="Times New Roman" w:hAnsi="Times New Roman"/>
          <w:szCs w:val="24"/>
        </w:rPr>
        <w:t xml:space="preserve"> the Parties agree to amend the Agreement as follows:</w:t>
      </w:r>
    </w:p>
    <w:p w14:paraId="345D940D" w14:textId="52C7F800" w:rsidR="007B0108" w:rsidRDefault="00CD70EF" w:rsidP="00CD70EF">
      <w:pPr>
        <w:tabs>
          <w:tab w:val="left" w:pos="5760"/>
        </w:tabs>
        <w:spacing w:before="120" w:after="12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ADDITIONAL </w:t>
      </w:r>
      <w:r w:rsidRPr="00CD70EF">
        <w:rPr>
          <w:rFonts w:ascii="Times New Roman" w:hAnsi="Times New Roman"/>
          <w:b/>
          <w:bCs/>
          <w:szCs w:val="24"/>
        </w:rPr>
        <w:t>TERMS AND CONDITIONS</w:t>
      </w:r>
    </w:p>
    <w:p w14:paraId="64189C98" w14:textId="77E06A05" w:rsidR="00CD7BE1" w:rsidRDefault="007B0108" w:rsidP="00CD7BE1">
      <w:pPr>
        <w:pStyle w:val="ListParagraph"/>
        <w:numPr>
          <w:ilvl w:val="0"/>
          <w:numId w:val="1"/>
        </w:numPr>
        <w:tabs>
          <w:tab w:val="left" w:pos="5760"/>
        </w:tabs>
        <w:spacing w:before="120" w:after="120"/>
        <w:jc w:val="both"/>
        <w:rPr>
          <w:rFonts w:ascii="Times New Roman" w:hAnsi="Times New Roman"/>
          <w:szCs w:val="24"/>
        </w:rPr>
      </w:pPr>
      <w:r w:rsidRPr="00CD70EF">
        <w:rPr>
          <w:rFonts w:ascii="Times New Roman" w:hAnsi="Times New Roman"/>
          <w:szCs w:val="24"/>
        </w:rPr>
        <w:t xml:space="preserve">Due to </w:t>
      </w:r>
      <w:r w:rsidR="003A6FB5" w:rsidRPr="00CD70EF">
        <w:rPr>
          <w:rFonts w:ascii="Times New Roman" w:hAnsi="Times New Roman"/>
          <w:szCs w:val="24"/>
        </w:rPr>
        <w:t xml:space="preserve">the ongoing </w:t>
      </w:r>
      <w:r w:rsidRPr="00CD70EF">
        <w:rPr>
          <w:rFonts w:ascii="Times New Roman" w:hAnsi="Times New Roman"/>
          <w:szCs w:val="24"/>
        </w:rPr>
        <w:t>pandemic</w:t>
      </w:r>
      <w:r w:rsidR="003A6FB5" w:rsidRPr="00CD70EF">
        <w:rPr>
          <w:rFonts w:ascii="Times New Roman" w:hAnsi="Times New Roman"/>
          <w:szCs w:val="24"/>
        </w:rPr>
        <w:t xml:space="preserve"> of </w:t>
      </w:r>
      <w:r w:rsidR="00CD70EF">
        <w:rPr>
          <w:rFonts w:ascii="Times New Roman" w:hAnsi="Times New Roman"/>
          <w:szCs w:val="24"/>
        </w:rPr>
        <w:t>COVID-</w:t>
      </w:r>
      <w:r w:rsidR="003A6FB5" w:rsidRPr="00CD70EF">
        <w:rPr>
          <w:rFonts w:ascii="Times New Roman" w:hAnsi="Times New Roman"/>
          <w:szCs w:val="24"/>
        </w:rPr>
        <w:t xml:space="preserve"> </w:t>
      </w:r>
      <w:r w:rsidR="00CD70EF">
        <w:rPr>
          <w:rFonts w:ascii="Times New Roman" w:hAnsi="Times New Roman"/>
          <w:szCs w:val="24"/>
        </w:rPr>
        <w:t>1</w:t>
      </w:r>
      <w:r w:rsidR="003A6FB5" w:rsidRPr="00CD70EF">
        <w:rPr>
          <w:rFonts w:ascii="Times New Roman" w:hAnsi="Times New Roman"/>
          <w:szCs w:val="24"/>
        </w:rPr>
        <w:t>9</w:t>
      </w:r>
      <w:r w:rsidRPr="00CD70EF">
        <w:rPr>
          <w:rFonts w:ascii="Times New Roman" w:hAnsi="Times New Roman"/>
          <w:szCs w:val="24"/>
        </w:rPr>
        <w:t xml:space="preserve">, including, but not limited to the </w:t>
      </w:r>
      <w:r w:rsidR="003A6FB5" w:rsidRPr="00CD70EF">
        <w:rPr>
          <w:rFonts w:ascii="Times New Roman" w:hAnsi="Times New Roman"/>
          <w:szCs w:val="24"/>
        </w:rPr>
        <w:t xml:space="preserve">SARS‑CoV‑2 </w:t>
      </w:r>
      <w:r w:rsidRPr="00CD70EF">
        <w:rPr>
          <w:rFonts w:ascii="Times New Roman" w:hAnsi="Times New Roman"/>
          <w:szCs w:val="24"/>
        </w:rPr>
        <w:t>virus</w:t>
      </w:r>
      <w:r w:rsidR="003A6FB5" w:rsidRPr="00CD70EF">
        <w:rPr>
          <w:rFonts w:ascii="Times New Roman" w:hAnsi="Times New Roman"/>
          <w:szCs w:val="24"/>
        </w:rPr>
        <w:t xml:space="preserve"> (the </w:t>
      </w:r>
      <w:r w:rsidR="005D4944" w:rsidRPr="00CD70EF">
        <w:rPr>
          <w:rFonts w:ascii="Times New Roman" w:hAnsi="Times New Roman"/>
          <w:szCs w:val="24"/>
        </w:rPr>
        <w:t>“</w:t>
      </w:r>
      <w:r w:rsidR="00CD70EF">
        <w:rPr>
          <w:rFonts w:ascii="Times New Roman" w:hAnsi="Times New Roman"/>
          <w:szCs w:val="24"/>
        </w:rPr>
        <w:t>COVID-</w:t>
      </w:r>
      <w:r w:rsidR="00CD70EF" w:rsidRPr="00CD70EF">
        <w:rPr>
          <w:rFonts w:ascii="Times New Roman" w:hAnsi="Times New Roman"/>
          <w:szCs w:val="24"/>
        </w:rPr>
        <w:t xml:space="preserve"> </w:t>
      </w:r>
      <w:r w:rsidR="00CD70EF">
        <w:rPr>
          <w:rFonts w:ascii="Times New Roman" w:hAnsi="Times New Roman"/>
          <w:szCs w:val="24"/>
        </w:rPr>
        <w:t>1</w:t>
      </w:r>
      <w:r w:rsidR="00CD70EF" w:rsidRPr="00CD70EF">
        <w:rPr>
          <w:rFonts w:ascii="Times New Roman" w:hAnsi="Times New Roman"/>
          <w:szCs w:val="24"/>
        </w:rPr>
        <w:t>9</w:t>
      </w:r>
      <w:r w:rsidR="005D4944" w:rsidRPr="00CD70EF">
        <w:rPr>
          <w:rFonts w:ascii="Times New Roman" w:hAnsi="Times New Roman"/>
          <w:szCs w:val="24"/>
        </w:rPr>
        <w:t>”</w:t>
      </w:r>
      <w:r w:rsidR="003A6FB5" w:rsidRPr="00CD70EF">
        <w:rPr>
          <w:rFonts w:ascii="Times New Roman" w:hAnsi="Times New Roman"/>
          <w:szCs w:val="24"/>
        </w:rPr>
        <w:t>)</w:t>
      </w:r>
      <w:r w:rsidRPr="00CD70EF">
        <w:rPr>
          <w:rFonts w:ascii="Times New Roman" w:hAnsi="Times New Roman"/>
          <w:szCs w:val="24"/>
        </w:rPr>
        <w:t xml:space="preserve">, </w:t>
      </w:r>
      <w:r w:rsidR="00CD70EF">
        <w:rPr>
          <w:rFonts w:ascii="Times New Roman" w:hAnsi="Times New Roman"/>
          <w:szCs w:val="24"/>
        </w:rPr>
        <w:t>Consultant</w:t>
      </w:r>
      <w:r w:rsidRPr="00CD70EF">
        <w:rPr>
          <w:rFonts w:ascii="Times New Roman" w:hAnsi="Times New Roman"/>
          <w:szCs w:val="24"/>
        </w:rPr>
        <w:t xml:space="preserve"> agrees to strictly, and without exception, follow all</w:t>
      </w:r>
      <w:r w:rsidR="00CD7BE1">
        <w:rPr>
          <w:rFonts w:ascii="Times New Roman" w:hAnsi="Times New Roman"/>
          <w:szCs w:val="24"/>
        </w:rPr>
        <w:t xml:space="preserve"> applicable</w:t>
      </w:r>
      <w:r w:rsidRPr="00CD70EF">
        <w:rPr>
          <w:rFonts w:ascii="Times New Roman" w:hAnsi="Times New Roman"/>
          <w:szCs w:val="24"/>
        </w:rPr>
        <w:t xml:space="preserve"> local, state and federal guidelines regarding human protection from </w:t>
      </w:r>
      <w:r w:rsidR="00CD70EF">
        <w:rPr>
          <w:rFonts w:ascii="Times New Roman" w:hAnsi="Times New Roman"/>
          <w:szCs w:val="24"/>
        </w:rPr>
        <w:t>COVID-</w:t>
      </w:r>
      <w:r w:rsidR="00CD70EF" w:rsidRPr="00CD70EF">
        <w:rPr>
          <w:rFonts w:ascii="Times New Roman" w:hAnsi="Times New Roman"/>
          <w:szCs w:val="24"/>
        </w:rPr>
        <w:t xml:space="preserve"> </w:t>
      </w:r>
      <w:r w:rsidR="00CD70EF">
        <w:rPr>
          <w:rFonts w:ascii="Times New Roman" w:hAnsi="Times New Roman"/>
          <w:szCs w:val="24"/>
        </w:rPr>
        <w:t>1</w:t>
      </w:r>
      <w:r w:rsidR="00CD70EF" w:rsidRPr="00CD70EF">
        <w:rPr>
          <w:rFonts w:ascii="Times New Roman" w:hAnsi="Times New Roman"/>
          <w:szCs w:val="24"/>
        </w:rPr>
        <w:t>9</w:t>
      </w:r>
      <w:r w:rsidRPr="00CD70EF">
        <w:rPr>
          <w:rFonts w:ascii="Times New Roman" w:hAnsi="Times New Roman"/>
          <w:szCs w:val="24"/>
        </w:rPr>
        <w:t>.</w:t>
      </w:r>
      <w:r w:rsidR="005D4944" w:rsidRPr="00CD70EF">
        <w:rPr>
          <w:rFonts w:ascii="Times New Roman" w:hAnsi="Times New Roman"/>
          <w:szCs w:val="24"/>
        </w:rPr>
        <w:t xml:space="preserve"> (the “Guidelines”)</w:t>
      </w:r>
      <w:r w:rsidRPr="00CD70EF">
        <w:rPr>
          <w:rFonts w:ascii="Times New Roman" w:hAnsi="Times New Roman"/>
          <w:szCs w:val="24"/>
        </w:rPr>
        <w:t xml:space="preserve"> The </w:t>
      </w:r>
      <w:r w:rsidR="00951236" w:rsidRPr="00CD70EF">
        <w:rPr>
          <w:rFonts w:ascii="Times New Roman" w:hAnsi="Times New Roman"/>
          <w:szCs w:val="24"/>
        </w:rPr>
        <w:t>G</w:t>
      </w:r>
      <w:r w:rsidRPr="00CD70EF">
        <w:rPr>
          <w:rFonts w:ascii="Times New Roman" w:hAnsi="Times New Roman"/>
          <w:szCs w:val="24"/>
        </w:rPr>
        <w:t xml:space="preserve">uidelines </w:t>
      </w:r>
      <w:r w:rsidR="001A339F" w:rsidRPr="00CD70EF">
        <w:rPr>
          <w:rFonts w:ascii="Times New Roman" w:hAnsi="Times New Roman"/>
          <w:szCs w:val="24"/>
        </w:rPr>
        <w:t xml:space="preserve">to strictly follow </w:t>
      </w:r>
      <w:r w:rsidRPr="00CD70EF">
        <w:rPr>
          <w:rFonts w:ascii="Times New Roman" w:hAnsi="Times New Roman"/>
          <w:szCs w:val="24"/>
        </w:rPr>
        <w:t>are located at various sites, including, but not limited to</w:t>
      </w:r>
      <w:r w:rsidR="00CD7BE1">
        <w:rPr>
          <w:rFonts w:ascii="Times New Roman" w:hAnsi="Times New Roman"/>
          <w:szCs w:val="24"/>
        </w:rPr>
        <w:t xml:space="preserve"> the guidelines provided by</w:t>
      </w:r>
      <w:r w:rsidRPr="00CD70EF">
        <w:rPr>
          <w:rFonts w:ascii="Times New Roman" w:hAnsi="Times New Roman"/>
          <w:szCs w:val="24"/>
        </w:rPr>
        <w:t xml:space="preserve">: </w:t>
      </w:r>
    </w:p>
    <w:p w14:paraId="7863D242" w14:textId="77777777" w:rsidR="00CD7BE1" w:rsidRDefault="00CD7BE1" w:rsidP="00CD7BE1">
      <w:pPr>
        <w:pStyle w:val="ListParagraph"/>
        <w:numPr>
          <w:ilvl w:val="1"/>
          <w:numId w:val="2"/>
        </w:numPr>
        <w:tabs>
          <w:tab w:val="left" w:pos="5760"/>
        </w:tabs>
        <w:spacing w:before="120"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Centers for Disease Control and Prevention </w:t>
      </w:r>
    </w:p>
    <w:p w14:paraId="660002EC" w14:textId="044F4C97" w:rsidR="00CD7BE1" w:rsidRDefault="004A4C57" w:rsidP="00CD7BE1">
      <w:pPr>
        <w:pStyle w:val="ListParagraph"/>
        <w:numPr>
          <w:ilvl w:val="2"/>
          <w:numId w:val="2"/>
        </w:numPr>
        <w:tabs>
          <w:tab w:val="left" w:pos="5760"/>
        </w:tabs>
        <w:spacing w:before="120" w:after="120"/>
        <w:rPr>
          <w:rFonts w:ascii="Times New Roman" w:hAnsi="Times New Roman"/>
          <w:szCs w:val="24"/>
        </w:rPr>
      </w:pPr>
      <w:hyperlink r:id="rId8" w:history="1">
        <w:r w:rsidR="00CD7BE1">
          <w:rPr>
            <w:rStyle w:val="Hyperlink"/>
          </w:rPr>
          <w:t>https://www.cdc.gov/</w:t>
        </w:r>
      </w:hyperlink>
    </w:p>
    <w:p w14:paraId="7E8E27F0" w14:textId="18B30011" w:rsidR="007B0108" w:rsidRPr="00CD7BE1" w:rsidRDefault="004A4C57" w:rsidP="00CD7BE1">
      <w:pPr>
        <w:pStyle w:val="ListParagraph"/>
        <w:numPr>
          <w:ilvl w:val="2"/>
          <w:numId w:val="2"/>
        </w:numPr>
        <w:tabs>
          <w:tab w:val="left" w:pos="5760"/>
        </w:tabs>
        <w:spacing w:before="120" w:after="120"/>
        <w:rPr>
          <w:rStyle w:val="Hyperlink"/>
          <w:rFonts w:ascii="Times New Roman" w:hAnsi="Times New Roman"/>
          <w:color w:val="auto"/>
          <w:szCs w:val="24"/>
          <w:u w:val="none"/>
        </w:rPr>
      </w:pPr>
      <w:hyperlink r:id="rId9" w:history="1">
        <w:r w:rsidR="00CD7BE1" w:rsidRPr="00FD2733">
          <w:rPr>
            <w:rStyle w:val="Hyperlink"/>
            <w:rFonts w:ascii="Times New Roman" w:hAnsi="Times New Roman"/>
            <w:szCs w:val="24"/>
          </w:rPr>
          <w:t>https://www.cdc.gov/coronavirus/2019-ncov/index.html</w:t>
        </w:r>
      </w:hyperlink>
    </w:p>
    <w:p w14:paraId="2B73AEA2" w14:textId="09649B85" w:rsidR="00CD7BE1" w:rsidRDefault="00CD7BE1" w:rsidP="00CD7BE1">
      <w:pPr>
        <w:pStyle w:val="ListParagraph"/>
        <w:numPr>
          <w:ilvl w:val="1"/>
          <w:numId w:val="2"/>
        </w:numPr>
        <w:tabs>
          <w:tab w:val="left" w:pos="5760"/>
        </w:tabs>
        <w:spacing w:before="120"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State of California</w:t>
      </w:r>
    </w:p>
    <w:p w14:paraId="73AF0099" w14:textId="3CB98A19" w:rsidR="00CD7BE1" w:rsidRDefault="004A4C57" w:rsidP="00CD7BE1">
      <w:pPr>
        <w:pStyle w:val="ListParagraph"/>
        <w:numPr>
          <w:ilvl w:val="2"/>
          <w:numId w:val="2"/>
        </w:numPr>
        <w:tabs>
          <w:tab w:val="left" w:pos="5760"/>
        </w:tabs>
        <w:spacing w:before="120" w:after="120"/>
        <w:rPr>
          <w:rFonts w:ascii="Times New Roman" w:hAnsi="Times New Roman"/>
          <w:szCs w:val="24"/>
        </w:rPr>
      </w:pPr>
      <w:hyperlink r:id="rId10" w:history="1">
        <w:r w:rsidR="00CD7BE1">
          <w:rPr>
            <w:rStyle w:val="Hyperlink"/>
          </w:rPr>
          <w:t>https://www.ca.gov/</w:t>
        </w:r>
      </w:hyperlink>
    </w:p>
    <w:p w14:paraId="041AFA36" w14:textId="2A277A8C" w:rsidR="00CD7BE1" w:rsidRPr="00CD7BE1" w:rsidRDefault="004A4C57" w:rsidP="00CD7BE1">
      <w:pPr>
        <w:pStyle w:val="ListParagraph"/>
        <w:numPr>
          <w:ilvl w:val="2"/>
          <w:numId w:val="2"/>
        </w:numPr>
        <w:tabs>
          <w:tab w:val="left" w:pos="5760"/>
        </w:tabs>
        <w:spacing w:before="120" w:after="120"/>
        <w:rPr>
          <w:rFonts w:ascii="Times New Roman" w:hAnsi="Times New Roman"/>
          <w:szCs w:val="24"/>
        </w:rPr>
      </w:pPr>
      <w:hyperlink r:id="rId11" w:anchor="top" w:history="1">
        <w:r w:rsidR="00CD7BE1" w:rsidRPr="00FD2733">
          <w:rPr>
            <w:rStyle w:val="Hyperlink"/>
          </w:rPr>
          <w:t>https://covid19.ca.gov/industry-guidance/#top</w:t>
        </w:r>
      </w:hyperlink>
    </w:p>
    <w:p w14:paraId="16DD3F6D" w14:textId="77777777" w:rsidR="00CD7BE1" w:rsidRDefault="00CD7BE1" w:rsidP="00CD7BE1">
      <w:pPr>
        <w:pStyle w:val="ListParagraph"/>
        <w:numPr>
          <w:ilvl w:val="1"/>
          <w:numId w:val="2"/>
        </w:numPr>
        <w:tabs>
          <w:tab w:val="left" w:pos="5760"/>
        </w:tabs>
        <w:spacing w:before="120" w:after="120"/>
        <w:rPr>
          <w:rFonts w:ascii="Times New Roman" w:hAnsi="Times New Roman"/>
          <w:szCs w:val="24"/>
        </w:rPr>
      </w:pPr>
      <w:r w:rsidRPr="00CD7BE1">
        <w:rPr>
          <w:rFonts w:ascii="Times New Roman" w:hAnsi="Times New Roman"/>
          <w:szCs w:val="24"/>
        </w:rPr>
        <w:t>California Department of Public Health</w:t>
      </w:r>
    </w:p>
    <w:p w14:paraId="5E6D2984" w14:textId="3E3E68DC" w:rsidR="00CD7BE1" w:rsidRPr="00CD7BE1" w:rsidRDefault="004A4C57" w:rsidP="00CD7BE1">
      <w:pPr>
        <w:pStyle w:val="ListParagraph"/>
        <w:numPr>
          <w:ilvl w:val="2"/>
          <w:numId w:val="2"/>
        </w:numPr>
        <w:tabs>
          <w:tab w:val="left" w:pos="5760"/>
        </w:tabs>
        <w:spacing w:before="120" w:after="120"/>
        <w:rPr>
          <w:rFonts w:ascii="Times New Roman" w:hAnsi="Times New Roman"/>
          <w:szCs w:val="24"/>
        </w:rPr>
      </w:pPr>
      <w:hyperlink r:id="rId12" w:history="1">
        <w:r w:rsidR="00CD7BE1">
          <w:rPr>
            <w:rStyle w:val="Hyperlink"/>
          </w:rPr>
          <w:t>https://www.cdph.ca.gov/</w:t>
        </w:r>
      </w:hyperlink>
    </w:p>
    <w:p w14:paraId="10E354CC" w14:textId="0E533195" w:rsidR="00CD7BE1" w:rsidRPr="00CD7BE1" w:rsidRDefault="004A4C57" w:rsidP="00CD7BE1">
      <w:pPr>
        <w:pStyle w:val="ListParagraph"/>
        <w:numPr>
          <w:ilvl w:val="2"/>
          <w:numId w:val="2"/>
        </w:numPr>
        <w:tabs>
          <w:tab w:val="left" w:pos="5760"/>
        </w:tabs>
        <w:spacing w:before="120" w:after="120"/>
        <w:rPr>
          <w:rFonts w:ascii="Times New Roman" w:hAnsi="Times New Roman"/>
          <w:szCs w:val="24"/>
        </w:rPr>
      </w:pPr>
      <w:hyperlink r:id="rId13" w:history="1">
        <w:r w:rsidR="00CD7BE1" w:rsidRPr="00FD2733">
          <w:rPr>
            <w:rStyle w:val="Hyperlink"/>
          </w:rPr>
          <w:t>https://www.cdph.ca.gov/Programs/CID/DCDC/CDPH%20Document%20Library/COVID-19/Guidance-for-Face-Coverings_06-18-2020.pdf</w:t>
        </w:r>
      </w:hyperlink>
      <w:r w:rsidR="00CD7BE1" w:rsidRPr="00CD7BE1">
        <w:rPr>
          <w:rFonts w:ascii="Times New Roman" w:hAnsi="Times New Roman"/>
          <w:szCs w:val="24"/>
        </w:rPr>
        <w:t xml:space="preserve"> </w:t>
      </w:r>
    </w:p>
    <w:p w14:paraId="2B6A0D74" w14:textId="6D08DD1B" w:rsidR="00CD7BE1" w:rsidRPr="00CD7BE1" w:rsidRDefault="00CD7BE1" w:rsidP="00CD7BE1">
      <w:pPr>
        <w:pStyle w:val="ListParagraph"/>
        <w:numPr>
          <w:ilvl w:val="1"/>
          <w:numId w:val="2"/>
        </w:numPr>
        <w:tabs>
          <w:tab w:val="left" w:pos="5760"/>
        </w:tabs>
        <w:spacing w:before="120" w:after="120"/>
        <w:rPr>
          <w:rFonts w:ascii="Times New Roman" w:hAnsi="Times New Roman"/>
          <w:szCs w:val="24"/>
        </w:rPr>
      </w:pPr>
      <w:r w:rsidRPr="00CD7BE1">
        <w:t>Occupational Safety and Health Administration</w:t>
      </w:r>
      <w:r>
        <w:t xml:space="preserve"> – </w:t>
      </w:r>
    </w:p>
    <w:p w14:paraId="68578207" w14:textId="41BDE538" w:rsidR="00CD7BE1" w:rsidRDefault="004A4C57" w:rsidP="00CD7BE1">
      <w:pPr>
        <w:pStyle w:val="ListParagraph"/>
        <w:numPr>
          <w:ilvl w:val="2"/>
          <w:numId w:val="2"/>
        </w:numPr>
        <w:tabs>
          <w:tab w:val="left" w:pos="5760"/>
        </w:tabs>
        <w:spacing w:before="120" w:after="120"/>
        <w:rPr>
          <w:rFonts w:ascii="Times New Roman" w:hAnsi="Times New Roman"/>
          <w:szCs w:val="24"/>
        </w:rPr>
      </w:pPr>
      <w:hyperlink r:id="rId14" w:history="1">
        <w:r w:rsidR="00CD7BE1" w:rsidRPr="00FD2733">
          <w:rPr>
            <w:rStyle w:val="Hyperlink"/>
            <w:rFonts w:ascii="Times New Roman" w:hAnsi="Times New Roman"/>
            <w:szCs w:val="24"/>
          </w:rPr>
          <w:t>www.osha.gov</w:t>
        </w:r>
      </w:hyperlink>
    </w:p>
    <w:p w14:paraId="009E376E" w14:textId="7F0C6509" w:rsidR="00CD7BE1" w:rsidRPr="00CD7BE1" w:rsidRDefault="004A4C57" w:rsidP="00CD7BE1">
      <w:pPr>
        <w:pStyle w:val="ListParagraph"/>
        <w:numPr>
          <w:ilvl w:val="2"/>
          <w:numId w:val="2"/>
        </w:numPr>
        <w:tabs>
          <w:tab w:val="left" w:pos="5760"/>
        </w:tabs>
        <w:spacing w:before="120" w:after="120"/>
        <w:rPr>
          <w:rFonts w:ascii="Times New Roman" w:hAnsi="Times New Roman"/>
          <w:szCs w:val="24"/>
        </w:rPr>
      </w:pPr>
      <w:hyperlink r:id="rId15" w:history="1">
        <w:r w:rsidR="00CD7BE1">
          <w:rPr>
            <w:rStyle w:val="Hyperlink"/>
          </w:rPr>
          <w:t>https://www.osha.gov/SLTC/covid-19/</w:t>
        </w:r>
      </w:hyperlink>
    </w:p>
    <w:p w14:paraId="77DCA55F" w14:textId="48D9565F" w:rsidR="00CD7BE1" w:rsidRPr="00CD70EF" w:rsidRDefault="004A4C57" w:rsidP="00CD7BE1">
      <w:pPr>
        <w:pStyle w:val="ListParagraph"/>
        <w:numPr>
          <w:ilvl w:val="2"/>
          <w:numId w:val="2"/>
        </w:numPr>
        <w:tabs>
          <w:tab w:val="left" w:pos="5760"/>
        </w:tabs>
        <w:spacing w:before="120" w:after="120"/>
        <w:rPr>
          <w:rFonts w:ascii="Times New Roman" w:hAnsi="Times New Roman"/>
          <w:szCs w:val="24"/>
        </w:rPr>
      </w:pPr>
      <w:hyperlink r:id="rId16" w:history="1">
        <w:r w:rsidR="00CD7BE1" w:rsidRPr="00FD2733">
          <w:rPr>
            <w:rStyle w:val="Hyperlink"/>
          </w:rPr>
          <w:t>https://www.osha.gov/Publications/OSHA3990.pdf</w:t>
        </w:r>
      </w:hyperlink>
    </w:p>
    <w:p w14:paraId="6F38687A" w14:textId="77777777" w:rsidR="005D4944" w:rsidRPr="00CD70EF" w:rsidRDefault="005D4944" w:rsidP="00951236">
      <w:pPr>
        <w:pStyle w:val="ListParagraph"/>
        <w:jc w:val="both"/>
        <w:rPr>
          <w:rFonts w:ascii="Times New Roman" w:hAnsi="Times New Roman"/>
          <w:szCs w:val="24"/>
        </w:rPr>
      </w:pPr>
    </w:p>
    <w:p w14:paraId="257E0952" w14:textId="3284CCE3" w:rsidR="005D4944" w:rsidRPr="00CD70EF" w:rsidRDefault="005D4944" w:rsidP="00951236">
      <w:pPr>
        <w:pStyle w:val="ListParagraph"/>
        <w:numPr>
          <w:ilvl w:val="0"/>
          <w:numId w:val="1"/>
        </w:numPr>
        <w:tabs>
          <w:tab w:val="left" w:pos="5760"/>
        </w:tabs>
        <w:spacing w:before="120" w:after="120"/>
        <w:jc w:val="both"/>
        <w:rPr>
          <w:rFonts w:ascii="Times New Roman" w:hAnsi="Times New Roman"/>
          <w:szCs w:val="24"/>
        </w:rPr>
      </w:pPr>
      <w:r w:rsidRPr="00CD70EF">
        <w:rPr>
          <w:rFonts w:ascii="Times New Roman" w:hAnsi="Times New Roman"/>
          <w:szCs w:val="24"/>
        </w:rPr>
        <w:t xml:space="preserve">The District may </w:t>
      </w:r>
      <w:r w:rsidR="00CD70EF">
        <w:rPr>
          <w:rFonts w:ascii="Times New Roman" w:hAnsi="Times New Roman"/>
          <w:szCs w:val="24"/>
        </w:rPr>
        <w:t xml:space="preserve">refuse Consultant and its employees, agents, and subcontractors from </w:t>
      </w:r>
      <w:r w:rsidR="00CD7BE1">
        <w:rPr>
          <w:rFonts w:ascii="Times New Roman" w:hAnsi="Times New Roman"/>
          <w:szCs w:val="24"/>
        </w:rPr>
        <w:t>entering</w:t>
      </w:r>
      <w:r w:rsidR="00CD70EF">
        <w:rPr>
          <w:rFonts w:ascii="Times New Roman" w:hAnsi="Times New Roman"/>
          <w:szCs w:val="24"/>
        </w:rPr>
        <w:t xml:space="preserve"> into any</w:t>
      </w:r>
      <w:r w:rsidRPr="00CD70EF">
        <w:rPr>
          <w:rFonts w:ascii="Times New Roman" w:hAnsi="Times New Roman"/>
          <w:szCs w:val="24"/>
        </w:rPr>
        <w:t xml:space="preserve"> District facility at any time if, in the sole discretion of the District, the District determines that  </w:t>
      </w:r>
      <w:r w:rsidR="00E40A09" w:rsidRPr="00CD70EF">
        <w:rPr>
          <w:rFonts w:ascii="Times New Roman" w:hAnsi="Times New Roman"/>
          <w:szCs w:val="24"/>
        </w:rPr>
        <w:t xml:space="preserve">the </w:t>
      </w:r>
      <w:r w:rsidR="00CD70EF">
        <w:rPr>
          <w:rFonts w:ascii="Times New Roman" w:hAnsi="Times New Roman"/>
          <w:szCs w:val="24"/>
        </w:rPr>
        <w:t>Consultant is</w:t>
      </w:r>
      <w:r w:rsidRPr="00CD70EF">
        <w:rPr>
          <w:rFonts w:ascii="Times New Roman" w:hAnsi="Times New Roman"/>
          <w:szCs w:val="24"/>
        </w:rPr>
        <w:t xml:space="preserve"> not in full compliance with the Guidelines. </w:t>
      </w:r>
    </w:p>
    <w:p w14:paraId="305BB437" w14:textId="77777777" w:rsidR="004B44BB" w:rsidRPr="00CD70EF" w:rsidRDefault="004B44BB" w:rsidP="00951236">
      <w:pPr>
        <w:pStyle w:val="ListParagraph"/>
        <w:tabs>
          <w:tab w:val="left" w:pos="5760"/>
        </w:tabs>
        <w:spacing w:before="120" w:after="120"/>
        <w:jc w:val="both"/>
        <w:rPr>
          <w:rFonts w:ascii="Times New Roman" w:hAnsi="Times New Roman"/>
          <w:szCs w:val="24"/>
        </w:rPr>
      </w:pPr>
    </w:p>
    <w:p w14:paraId="1DCD8A8D" w14:textId="1CB33D22" w:rsidR="004B44BB" w:rsidRDefault="004B44BB" w:rsidP="00951236">
      <w:pPr>
        <w:pStyle w:val="ListParagraph"/>
        <w:numPr>
          <w:ilvl w:val="0"/>
          <w:numId w:val="1"/>
        </w:numPr>
        <w:tabs>
          <w:tab w:val="left" w:pos="5760"/>
        </w:tabs>
        <w:spacing w:before="120" w:after="120"/>
        <w:jc w:val="both"/>
        <w:rPr>
          <w:rFonts w:ascii="Times New Roman" w:hAnsi="Times New Roman"/>
          <w:szCs w:val="24"/>
        </w:rPr>
      </w:pPr>
      <w:r w:rsidRPr="00CD7BE1">
        <w:rPr>
          <w:rFonts w:ascii="Times New Roman" w:hAnsi="Times New Roman"/>
          <w:szCs w:val="24"/>
        </w:rPr>
        <w:t xml:space="preserve">Waiver and Release of Claims.  To the fullest extent permitted by law, </w:t>
      </w:r>
      <w:r w:rsidR="00CD70EF" w:rsidRPr="00CD7BE1">
        <w:rPr>
          <w:rFonts w:ascii="Times New Roman" w:hAnsi="Times New Roman"/>
          <w:szCs w:val="24"/>
        </w:rPr>
        <w:t>Consultant</w:t>
      </w:r>
      <w:r w:rsidRPr="00CD7BE1">
        <w:rPr>
          <w:rFonts w:ascii="Times New Roman" w:hAnsi="Times New Roman"/>
          <w:szCs w:val="24"/>
        </w:rPr>
        <w:t xml:space="preserve"> release</w:t>
      </w:r>
      <w:r w:rsidR="005D4944" w:rsidRPr="00CD7BE1">
        <w:rPr>
          <w:rFonts w:ascii="Times New Roman" w:hAnsi="Times New Roman"/>
          <w:szCs w:val="24"/>
        </w:rPr>
        <w:t>s</w:t>
      </w:r>
      <w:r w:rsidRPr="00CD7BE1">
        <w:rPr>
          <w:rFonts w:ascii="Times New Roman" w:hAnsi="Times New Roman"/>
          <w:szCs w:val="24"/>
        </w:rPr>
        <w:t xml:space="preserve"> </w:t>
      </w:r>
      <w:r w:rsidRPr="00CD7BE1">
        <w:rPr>
          <w:rFonts w:ascii="Times New Roman" w:hAnsi="Times New Roman"/>
          <w:szCs w:val="24"/>
          <w:highlight w:val="yellow"/>
        </w:rPr>
        <w:t xml:space="preserve">[     ] </w:t>
      </w:r>
      <w:r w:rsidRPr="00CD7BE1">
        <w:rPr>
          <w:rFonts w:ascii="Times New Roman" w:hAnsi="Times New Roman"/>
          <w:szCs w:val="24"/>
        </w:rPr>
        <w:t>District, its affiliated campuses, and their governing boards, affiliates, subsidiaries, divisions, administrators, directors, officers, employees, agents, and volunteers (collectively referred to herein as the “District</w:t>
      </w:r>
      <w:r w:rsidR="00CD70EF" w:rsidRPr="00CD7BE1">
        <w:rPr>
          <w:rFonts w:ascii="Times New Roman" w:hAnsi="Times New Roman"/>
          <w:szCs w:val="24"/>
        </w:rPr>
        <w:t xml:space="preserve"> Entities</w:t>
      </w:r>
      <w:r w:rsidRPr="00CD7BE1">
        <w:rPr>
          <w:rFonts w:ascii="Times New Roman" w:hAnsi="Times New Roman"/>
          <w:szCs w:val="24"/>
        </w:rPr>
        <w:t xml:space="preserve">”), from and against all claims and causes of action, for any injury or harm of any kind which may arise from or out of </w:t>
      </w:r>
      <w:r w:rsidR="00CD7BE1" w:rsidRPr="00CD7BE1">
        <w:rPr>
          <w:rFonts w:ascii="Times New Roman" w:hAnsi="Times New Roman"/>
          <w:szCs w:val="24"/>
        </w:rPr>
        <w:t>the failure of Consultant or its agents, employees, and subcontractor’s failure to abide by the Guidelines</w:t>
      </w:r>
      <w:r w:rsidRPr="00CD7BE1">
        <w:rPr>
          <w:rFonts w:ascii="Times New Roman" w:hAnsi="Times New Roman"/>
          <w:szCs w:val="24"/>
        </w:rPr>
        <w:t xml:space="preserve">. </w:t>
      </w:r>
    </w:p>
    <w:p w14:paraId="77971782" w14:textId="77777777" w:rsidR="00CD7BE1" w:rsidRPr="00CD7BE1" w:rsidRDefault="00CD7BE1" w:rsidP="00CD7BE1">
      <w:pPr>
        <w:pStyle w:val="ListParagraph"/>
        <w:rPr>
          <w:rFonts w:ascii="Times New Roman" w:hAnsi="Times New Roman"/>
          <w:szCs w:val="24"/>
        </w:rPr>
      </w:pPr>
    </w:p>
    <w:p w14:paraId="4AEC2B37" w14:textId="4DAF45B4" w:rsidR="006012DE" w:rsidRDefault="00E40A09" w:rsidP="00CD7BE1">
      <w:pPr>
        <w:pStyle w:val="ListParagraph"/>
        <w:numPr>
          <w:ilvl w:val="0"/>
          <w:numId w:val="1"/>
        </w:numPr>
        <w:tabs>
          <w:tab w:val="left" w:pos="5760"/>
        </w:tabs>
        <w:spacing w:before="120" w:after="120"/>
        <w:jc w:val="both"/>
        <w:rPr>
          <w:rFonts w:ascii="Times New Roman" w:hAnsi="Times New Roman"/>
          <w:szCs w:val="24"/>
        </w:rPr>
      </w:pPr>
      <w:r w:rsidRPr="00CD7BE1">
        <w:rPr>
          <w:rFonts w:ascii="Times New Roman" w:hAnsi="Times New Roman"/>
          <w:b/>
          <w:bCs/>
          <w:szCs w:val="24"/>
        </w:rPr>
        <w:t>INDEMNIFICATION. TO THE FULLEST EXTENT PERMITTED BY LAW,</w:t>
      </w:r>
      <w:r w:rsidR="00CD7BE1">
        <w:rPr>
          <w:rFonts w:ascii="Times New Roman" w:hAnsi="Times New Roman"/>
          <w:b/>
          <w:bCs/>
          <w:szCs w:val="24"/>
        </w:rPr>
        <w:t xml:space="preserve"> CONSULTANT AGREES</w:t>
      </w:r>
      <w:r w:rsidRPr="00CD7BE1">
        <w:rPr>
          <w:rFonts w:ascii="Times New Roman" w:hAnsi="Times New Roman"/>
          <w:b/>
          <w:bCs/>
          <w:szCs w:val="24"/>
        </w:rPr>
        <w:t xml:space="preserve"> TO IMMEDIATELY DEFEND, INDEMNIFY, AND HOLD DISTRICT </w:t>
      </w:r>
      <w:r w:rsidR="00CD7BE1">
        <w:rPr>
          <w:rFonts w:ascii="Times New Roman" w:hAnsi="Times New Roman"/>
          <w:b/>
          <w:bCs/>
          <w:szCs w:val="24"/>
        </w:rPr>
        <w:t>ENTITIES</w:t>
      </w:r>
      <w:r w:rsidRPr="00CD7BE1">
        <w:rPr>
          <w:rFonts w:ascii="Times New Roman" w:hAnsi="Times New Roman"/>
          <w:b/>
          <w:bCs/>
          <w:szCs w:val="24"/>
        </w:rPr>
        <w:t xml:space="preserve"> FREE AND HARMLESS FROM ANY LOSS, DAMAGE, </w:t>
      </w:r>
      <w:r w:rsidRPr="00CD7BE1">
        <w:rPr>
          <w:rFonts w:ascii="Times New Roman" w:hAnsi="Times New Roman"/>
          <w:b/>
          <w:bCs/>
          <w:szCs w:val="24"/>
        </w:rPr>
        <w:lastRenderedPageBreak/>
        <w:t xml:space="preserve">LIABILITY, OR EXPENSE THAT MAY ARISE IN WHOLE OR IN PART FROM THE </w:t>
      </w:r>
      <w:r w:rsidR="00CD7BE1" w:rsidRPr="00CD7BE1">
        <w:rPr>
          <w:rFonts w:ascii="Times New Roman" w:hAnsi="Times New Roman"/>
          <w:b/>
          <w:bCs/>
          <w:szCs w:val="24"/>
        </w:rPr>
        <w:t>FAILURE OF CONSULTANT OR ITS AGENTS, EMPLOYEES, AND SUBCONTRACTOR’S FAILURE TO ABIDE BY THE GUIDELINES</w:t>
      </w:r>
      <w:r w:rsidRPr="00CD7BE1">
        <w:rPr>
          <w:rFonts w:ascii="Times New Roman" w:hAnsi="Times New Roman"/>
          <w:b/>
          <w:bCs/>
          <w:szCs w:val="24"/>
        </w:rPr>
        <w:t>. THE DEFENSE AND INDEMNITY OBLIGATIONS UNDER THIS PARAGRAPH SHALL APPLY REGARDLESS OF THE DISTRICT OR ANY OTHER PERSON OR ENTITY’S ACTIVE OR PASSIVE NEGLIGENCE</w:t>
      </w:r>
      <w:r w:rsidRPr="00CD7BE1">
        <w:rPr>
          <w:rFonts w:ascii="Times New Roman" w:hAnsi="Times New Roman"/>
          <w:szCs w:val="24"/>
        </w:rPr>
        <w:t>.</w:t>
      </w:r>
    </w:p>
    <w:p w14:paraId="40342B34" w14:textId="77777777" w:rsidR="00CD7BE1" w:rsidRPr="00CD7BE1" w:rsidRDefault="00CD7BE1" w:rsidP="00CD7BE1">
      <w:pPr>
        <w:pStyle w:val="ListParagraph"/>
        <w:rPr>
          <w:rFonts w:ascii="Times New Roman" w:hAnsi="Times New Roman"/>
          <w:szCs w:val="24"/>
        </w:rPr>
      </w:pPr>
    </w:p>
    <w:p w14:paraId="371BF2ED" w14:textId="4AB457D7" w:rsidR="00CD7BE1" w:rsidRPr="00CD7BE1" w:rsidRDefault="00CD7BE1" w:rsidP="00CD7BE1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Aside from the above additions to the Agreement, a</w:t>
      </w:r>
      <w:r w:rsidRPr="00CD7BE1">
        <w:rPr>
          <w:rFonts w:ascii="Bookman Old Style" w:hAnsi="Bookman Old Style"/>
          <w:sz w:val="20"/>
        </w:rPr>
        <w:t>ll</w:t>
      </w:r>
      <w:r>
        <w:rPr>
          <w:rFonts w:ascii="Bookman Old Style" w:hAnsi="Bookman Old Style"/>
          <w:sz w:val="20"/>
        </w:rPr>
        <w:t xml:space="preserve"> other</w:t>
      </w:r>
      <w:r w:rsidRPr="00CD7BE1"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</w:rPr>
        <w:t>te</w:t>
      </w:r>
      <w:r w:rsidRPr="00CD7BE1">
        <w:rPr>
          <w:rFonts w:ascii="Bookman Old Style" w:hAnsi="Bookman Old Style"/>
          <w:sz w:val="20"/>
        </w:rPr>
        <w:t xml:space="preserve">rms and conditions </w:t>
      </w:r>
      <w:r>
        <w:rPr>
          <w:rFonts w:ascii="Bookman Old Style" w:hAnsi="Bookman Old Style"/>
          <w:sz w:val="20"/>
        </w:rPr>
        <w:t xml:space="preserve">of the Agreement </w:t>
      </w:r>
      <w:r w:rsidRPr="00CD7BE1">
        <w:rPr>
          <w:rFonts w:ascii="Bookman Old Style" w:hAnsi="Bookman Old Style"/>
          <w:sz w:val="20"/>
        </w:rPr>
        <w:t>remain the same.</w:t>
      </w:r>
    </w:p>
    <w:p w14:paraId="6142B937" w14:textId="77777777" w:rsidR="006012DE" w:rsidRPr="00CD70EF" w:rsidRDefault="006012DE" w:rsidP="00951236">
      <w:pPr>
        <w:pStyle w:val="ListParagraph"/>
        <w:jc w:val="both"/>
        <w:rPr>
          <w:rFonts w:ascii="Times New Roman" w:hAnsi="Times New Roman"/>
          <w:b/>
          <w:bCs/>
          <w:szCs w:val="24"/>
        </w:rPr>
      </w:pPr>
    </w:p>
    <w:p w14:paraId="31ED3FD7" w14:textId="5BD6808E" w:rsidR="00493DFA" w:rsidRDefault="00493DFA" w:rsidP="00951236">
      <w:pPr>
        <w:tabs>
          <w:tab w:val="left" w:pos="5760"/>
        </w:tabs>
        <w:spacing w:before="120" w:after="120"/>
        <w:jc w:val="both"/>
        <w:rPr>
          <w:rFonts w:ascii="Times New Roman" w:hAnsi="Times New Roman"/>
          <w:b/>
          <w:bCs/>
          <w:szCs w:val="24"/>
        </w:rPr>
      </w:pPr>
      <w:r w:rsidRPr="00CD70EF">
        <w:rPr>
          <w:rFonts w:ascii="Times New Roman" w:hAnsi="Times New Roman"/>
          <w:b/>
          <w:bCs/>
          <w:szCs w:val="24"/>
        </w:rPr>
        <w:t>Addendum acknowledgement</w:t>
      </w:r>
      <w:r w:rsidR="00E40A09" w:rsidRPr="00CD70EF">
        <w:rPr>
          <w:rFonts w:ascii="Times New Roman" w:hAnsi="Times New Roman"/>
          <w:b/>
          <w:bCs/>
          <w:szCs w:val="24"/>
        </w:rPr>
        <w:t xml:space="preserve">: </w:t>
      </w:r>
      <w:r w:rsidRPr="00CD70EF">
        <w:rPr>
          <w:rFonts w:ascii="Times New Roman" w:hAnsi="Times New Roman"/>
          <w:b/>
          <w:bCs/>
          <w:szCs w:val="24"/>
        </w:rPr>
        <w:t xml:space="preserve">I acknowledge </w:t>
      </w:r>
      <w:r w:rsidR="00E40A09" w:rsidRPr="00CD70EF">
        <w:rPr>
          <w:rFonts w:ascii="Times New Roman" w:hAnsi="Times New Roman"/>
          <w:b/>
          <w:bCs/>
          <w:szCs w:val="24"/>
        </w:rPr>
        <w:t xml:space="preserve">that I have read this addendum and agree to all of its terms, and that I fully understand my responsibility to adhere to all </w:t>
      </w:r>
      <w:r w:rsidR="00CD7BE1">
        <w:rPr>
          <w:rFonts w:ascii="Times New Roman" w:hAnsi="Times New Roman"/>
          <w:b/>
          <w:bCs/>
          <w:szCs w:val="24"/>
        </w:rPr>
        <w:t>Guidelines</w:t>
      </w:r>
      <w:r w:rsidRPr="00CD70EF">
        <w:rPr>
          <w:rFonts w:ascii="Times New Roman" w:hAnsi="Times New Roman"/>
          <w:b/>
          <w:bCs/>
          <w:szCs w:val="24"/>
        </w:rPr>
        <w:t>.</w:t>
      </w:r>
    </w:p>
    <w:p w14:paraId="4F0EC1F1" w14:textId="04332C25" w:rsidR="00CD7BE1" w:rsidRDefault="00CD7BE1" w:rsidP="00951236">
      <w:pPr>
        <w:tabs>
          <w:tab w:val="left" w:pos="5760"/>
        </w:tabs>
        <w:spacing w:before="120" w:after="120"/>
        <w:jc w:val="both"/>
        <w:rPr>
          <w:rFonts w:ascii="Times New Roman" w:hAnsi="Times New Roman"/>
          <w:b/>
          <w:bCs/>
          <w:szCs w:val="24"/>
        </w:rPr>
      </w:pPr>
    </w:p>
    <w:p w14:paraId="0FCA82BC" w14:textId="77777777" w:rsidR="00CD7BE1" w:rsidRPr="006D4D1B" w:rsidRDefault="00CD7BE1" w:rsidP="00CD7BE1">
      <w:pPr>
        <w:tabs>
          <w:tab w:val="right" w:pos="3240"/>
        </w:tabs>
        <w:rPr>
          <w:rFonts w:ascii="Times New Roman" w:hAnsi="Times New Roman"/>
        </w:rPr>
      </w:pPr>
    </w:p>
    <w:p w14:paraId="670611D4" w14:textId="77777777" w:rsidR="00CD7BE1" w:rsidRPr="006D4D1B" w:rsidRDefault="00CD7BE1" w:rsidP="00CD7BE1">
      <w:pPr>
        <w:tabs>
          <w:tab w:val="left" w:pos="0"/>
          <w:tab w:val="right" w:pos="3600"/>
          <w:tab w:val="left" w:pos="5760"/>
          <w:tab w:val="right" w:pos="936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CONSULTANT</w:t>
      </w:r>
      <w:r w:rsidRPr="006D4D1B">
        <w:rPr>
          <w:rFonts w:ascii="Times New Roman" w:hAnsi="Times New Roman"/>
          <w:b/>
          <w:bCs/>
        </w:rPr>
        <w:tab/>
      </w:r>
      <w:r w:rsidRPr="006D4D1B">
        <w:rPr>
          <w:rFonts w:ascii="Times New Roman" w:hAnsi="Times New Roman"/>
          <w:b/>
          <w:bCs/>
        </w:rPr>
        <w:tab/>
        <w:t>DISTRICT</w:t>
      </w:r>
    </w:p>
    <w:p w14:paraId="2A381EED" w14:textId="77777777" w:rsidR="00CD7BE1" w:rsidRPr="006D4D1B" w:rsidRDefault="00CD7BE1" w:rsidP="00CD7BE1">
      <w:pPr>
        <w:tabs>
          <w:tab w:val="left" w:pos="0"/>
          <w:tab w:val="right" w:pos="3240"/>
          <w:tab w:val="right" w:pos="3600"/>
          <w:tab w:val="left" w:pos="6480"/>
          <w:tab w:val="right" w:pos="9360"/>
        </w:tabs>
        <w:rPr>
          <w:rFonts w:ascii="Times New Roman" w:hAnsi="Times New Roman"/>
        </w:rPr>
      </w:pPr>
    </w:p>
    <w:p w14:paraId="4607370D" w14:textId="77777777" w:rsidR="00CD7BE1" w:rsidRPr="006D4D1B" w:rsidRDefault="00CD7BE1" w:rsidP="00CD7BE1">
      <w:pPr>
        <w:tabs>
          <w:tab w:val="left" w:pos="0"/>
          <w:tab w:val="right" w:pos="3600"/>
          <w:tab w:val="left" w:pos="5760"/>
          <w:tab w:val="right" w:pos="9360"/>
          <w:tab w:val="right" w:pos="10080"/>
        </w:tabs>
        <w:rPr>
          <w:rFonts w:ascii="Times New Roman" w:hAnsi="Times New Roman"/>
        </w:rPr>
      </w:pPr>
      <w:r w:rsidRPr="006D4D1B">
        <w:rPr>
          <w:rFonts w:ascii="Times New Roman" w:hAnsi="Times New Roman"/>
          <w:u w:val="single"/>
        </w:rPr>
        <w:tab/>
      </w:r>
      <w:r w:rsidRPr="006D4D1B">
        <w:rPr>
          <w:rFonts w:ascii="Times New Roman" w:hAnsi="Times New Roman"/>
        </w:rPr>
        <w:tab/>
      </w:r>
      <w:r w:rsidRPr="006D4D1B">
        <w:rPr>
          <w:rFonts w:ascii="Times New Roman" w:hAnsi="Times New Roman"/>
          <w:u w:val="single"/>
        </w:rPr>
        <w:tab/>
      </w:r>
    </w:p>
    <w:p w14:paraId="1DD7B61B" w14:textId="1F04ED87" w:rsidR="00CD7BE1" w:rsidRPr="006D4D1B" w:rsidRDefault="00CD7BE1" w:rsidP="00CD7BE1">
      <w:pPr>
        <w:tabs>
          <w:tab w:val="left" w:pos="0"/>
          <w:tab w:val="left" w:pos="720"/>
          <w:tab w:val="right" w:pos="3600"/>
          <w:tab w:val="left" w:pos="5760"/>
          <w:tab w:val="right" w:pos="9360"/>
        </w:tabs>
        <w:rPr>
          <w:rFonts w:ascii="Times New Roman" w:hAnsi="Times New Roman"/>
        </w:rPr>
      </w:pPr>
      <w:r w:rsidRPr="006D4D1B">
        <w:rPr>
          <w:rFonts w:ascii="Times New Roman" w:hAnsi="Times New Roman"/>
        </w:rPr>
        <w:t>Signature</w:t>
      </w:r>
      <w:r w:rsidRPr="006D4D1B">
        <w:rPr>
          <w:rFonts w:ascii="Times New Roman" w:hAnsi="Times New Roman"/>
        </w:rPr>
        <w:tab/>
      </w:r>
      <w:r w:rsidRPr="006D4D1B">
        <w:rPr>
          <w:rFonts w:ascii="Times New Roman" w:hAnsi="Times New Roman"/>
        </w:rPr>
        <w:tab/>
        <w:t>Signature</w:t>
      </w:r>
      <w:r w:rsidRPr="006D4D1B">
        <w:rPr>
          <w:rFonts w:ascii="Times New Roman" w:hAnsi="Times New Roman"/>
        </w:rPr>
        <w:tab/>
      </w:r>
    </w:p>
    <w:p w14:paraId="7771EF1D" w14:textId="77777777" w:rsidR="00CD7BE1" w:rsidRPr="006D4D1B" w:rsidRDefault="00CD7BE1" w:rsidP="00CD7BE1">
      <w:pPr>
        <w:tabs>
          <w:tab w:val="left" w:pos="0"/>
          <w:tab w:val="left" w:pos="720"/>
          <w:tab w:val="right" w:pos="3600"/>
          <w:tab w:val="left" w:pos="5760"/>
          <w:tab w:val="right" w:pos="9360"/>
        </w:tabs>
        <w:rPr>
          <w:rFonts w:ascii="Times New Roman" w:hAnsi="Times New Roman"/>
        </w:rPr>
      </w:pPr>
      <w:r w:rsidRPr="006D4D1B">
        <w:rPr>
          <w:rFonts w:ascii="Times New Roman" w:hAnsi="Times New Roman"/>
        </w:rPr>
        <w:tab/>
      </w:r>
      <w:r w:rsidRPr="006D4D1B">
        <w:rPr>
          <w:rFonts w:ascii="Times New Roman" w:hAnsi="Times New Roman"/>
        </w:rPr>
        <w:tab/>
      </w:r>
      <w:r w:rsidRPr="006D4D1B">
        <w:rPr>
          <w:rFonts w:ascii="Times New Roman" w:hAnsi="Times New Roman"/>
        </w:rPr>
        <w:tab/>
      </w:r>
    </w:p>
    <w:p w14:paraId="68EF2C69" w14:textId="77777777" w:rsidR="00CD7BE1" w:rsidRPr="006D4D1B" w:rsidRDefault="00CD7BE1" w:rsidP="00CD7BE1">
      <w:pPr>
        <w:tabs>
          <w:tab w:val="left" w:pos="0"/>
          <w:tab w:val="right" w:pos="3600"/>
          <w:tab w:val="left" w:pos="5760"/>
          <w:tab w:val="right" w:pos="9360"/>
          <w:tab w:val="right" w:pos="10080"/>
        </w:tabs>
        <w:rPr>
          <w:rFonts w:ascii="Times New Roman" w:hAnsi="Times New Roman"/>
          <w:u w:val="single"/>
        </w:rPr>
      </w:pPr>
      <w:r w:rsidRPr="006D4D1B">
        <w:rPr>
          <w:rFonts w:ascii="Times New Roman" w:hAnsi="Times New Roman"/>
          <w:u w:val="single"/>
        </w:rPr>
        <w:tab/>
      </w:r>
      <w:r w:rsidRPr="006D4D1B">
        <w:rPr>
          <w:rFonts w:ascii="Times New Roman" w:hAnsi="Times New Roman"/>
        </w:rPr>
        <w:tab/>
      </w:r>
      <w:r w:rsidRPr="006D4D1B">
        <w:rPr>
          <w:rFonts w:ascii="Times New Roman" w:hAnsi="Times New Roman"/>
          <w:u w:val="single"/>
        </w:rPr>
        <w:tab/>
      </w:r>
    </w:p>
    <w:p w14:paraId="3A87A22B" w14:textId="77777777" w:rsidR="00CD7BE1" w:rsidRPr="006D4D1B" w:rsidRDefault="00CD7BE1" w:rsidP="00CD7BE1">
      <w:pPr>
        <w:tabs>
          <w:tab w:val="left" w:pos="0"/>
          <w:tab w:val="left" w:pos="720"/>
          <w:tab w:val="right" w:pos="3600"/>
          <w:tab w:val="left" w:pos="5760"/>
          <w:tab w:val="right" w:pos="9360"/>
          <w:tab w:val="right" w:pos="10800"/>
        </w:tabs>
        <w:rPr>
          <w:rFonts w:ascii="Times New Roman" w:hAnsi="Times New Roman"/>
        </w:rPr>
      </w:pPr>
      <w:r>
        <w:rPr>
          <w:rFonts w:ascii="Times New Roman" w:hAnsi="Times New Roman"/>
        </w:rPr>
        <w:t>Consultant</w:t>
      </w:r>
      <w:r w:rsidRPr="006D4D1B">
        <w:rPr>
          <w:rFonts w:ascii="Times New Roman" w:hAnsi="Times New Roman"/>
        </w:rPr>
        <w:t xml:space="preserve"> Printed Name and Title</w:t>
      </w:r>
      <w:r w:rsidRPr="006D4D1B">
        <w:rPr>
          <w:rFonts w:ascii="Times New Roman" w:hAnsi="Times New Roman"/>
        </w:rPr>
        <w:tab/>
      </w:r>
      <w:r w:rsidRPr="006D4D1B">
        <w:rPr>
          <w:rFonts w:ascii="Times New Roman" w:hAnsi="Times New Roman"/>
        </w:rPr>
        <w:tab/>
        <w:t>Director, Purchasing</w:t>
      </w:r>
    </w:p>
    <w:p w14:paraId="0065264A" w14:textId="77777777" w:rsidR="00CD7BE1" w:rsidRPr="006D4D1B" w:rsidRDefault="00CD7BE1" w:rsidP="00CD7BE1">
      <w:pPr>
        <w:tabs>
          <w:tab w:val="left" w:pos="0"/>
          <w:tab w:val="right" w:pos="3240"/>
          <w:tab w:val="right" w:pos="3600"/>
          <w:tab w:val="left" w:pos="4320"/>
          <w:tab w:val="left" w:pos="6480"/>
          <w:tab w:val="right" w:pos="8160"/>
          <w:tab w:val="right" w:pos="9360"/>
        </w:tabs>
        <w:rPr>
          <w:rFonts w:ascii="Times New Roman" w:hAnsi="Times New Roman"/>
        </w:rPr>
      </w:pPr>
    </w:p>
    <w:p w14:paraId="437A901E" w14:textId="77777777" w:rsidR="00CD7BE1" w:rsidRPr="006D4D1B" w:rsidRDefault="00CD7BE1" w:rsidP="00CD7BE1">
      <w:pPr>
        <w:tabs>
          <w:tab w:val="left" w:pos="0"/>
          <w:tab w:val="right" w:pos="3600"/>
          <w:tab w:val="left" w:pos="5760"/>
          <w:tab w:val="left" w:pos="6480"/>
          <w:tab w:val="right" w:pos="9360"/>
        </w:tabs>
        <w:contextualSpacing/>
        <w:rPr>
          <w:rFonts w:ascii="Times New Roman" w:hAnsi="Times New Roman"/>
        </w:rPr>
      </w:pPr>
      <w:r w:rsidRPr="006D4D1B">
        <w:rPr>
          <w:rFonts w:ascii="Times New Roman" w:hAnsi="Times New Roman"/>
          <w:u w:val="single"/>
        </w:rPr>
        <w:tab/>
      </w:r>
      <w:r w:rsidRPr="006D4D1B">
        <w:rPr>
          <w:rFonts w:ascii="Times New Roman" w:hAnsi="Times New Roman"/>
        </w:rPr>
        <w:tab/>
      </w:r>
      <w:r w:rsidRPr="006D4D1B">
        <w:rPr>
          <w:rFonts w:ascii="Times New Roman" w:hAnsi="Times New Roman"/>
          <w:u w:val="single"/>
        </w:rPr>
        <w:tab/>
      </w:r>
      <w:r w:rsidRPr="006D4D1B">
        <w:rPr>
          <w:rFonts w:ascii="Times New Roman" w:hAnsi="Times New Roman"/>
          <w:u w:val="single"/>
        </w:rPr>
        <w:tab/>
      </w:r>
    </w:p>
    <w:p w14:paraId="3A314901" w14:textId="42539654" w:rsidR="00CD7BE1" w:rsidRPr="00CD70EF" w:rsidRDefault="00CD7BE1" w:rsidP="00CD7BE1">
      <w:pPr>
        <w:tabs>
          <w:tab w:val="left" w:pos="5760"/>
        </w:tabs>
        <w:spacing w:before="120" w:after="120"/>
        <w:contextualSpacing/>
        <w:jc w:val="both"/>
        <w:rPr>
          <w:rFonts w:ascii="Times New Roman" w:hAnsi="Times New Roman"/>
          <w:b/>
          <w:bCs/>
          <w:szCs w:val="24"/>
        </w:rPr>
      </w:pPr>
      <w:r w:rsidRPr="006D4D1B">
        <w:rPr>
          <w:rFonts w:ascii="Times New Roman" w:hAnsi="Times New Roman"/>
        </w:rPr>
        <w:t xml:space="preserve">Date </w:t>
      </w:r>
      <w:r w:rsidRPr="006D4D1B">
        <w:rPr>
          <w:rFonts w:ascii="Times New Roman" w:hAnsi="Times New Roman"/>
        </w:rPr>
        <w:tab/>
        <w:t>Date</w:t>
      </w:r>
    </w:p>
    <w:p w14:paraId="2A2FEA25" w14:textId="77777777" w:rsidR="00493DFA" w:rsidRPr="00CD70EF" w:rsidRDefault="00493DFA" w:rsidP="00951236">
      <w:pPr>
        <w:tabs>
          <w:tab w:val="left" w:pos="5760"/>
        </w:tabs>
        <w:spacing w:before="120" w:after="120"/>
        <w:jc w:val="both"/>
        <w:rPr>
          <w:rFonts w:ascii="Times New Roman" w:hAnsi="Times New Roman"/>
          <w:b/>
          <w:bCs/>
          <w:szCs w:val="24"/>
        </w:rPr>
      </w:pPr>
    </w:p>
    <w:sectPr w:rsidR="00493DFA" w:rsidRPr="00CD70EF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3AE19" w14:textId="77777777" w:rsidR="004A4C57" w:rsidRDefault="004A4C57" w:rsidP="006969E5">
      <w:r>
        <w:separator/>
      </w:r>
    </w:p>
  </w:endnote>
  <w:endnote w:type="continuationSeparator" w:id="0">
    <w:p w14:paraId="71709FBB" w14:textId="77777777" w:rsidR="004A4C57" w:rsidRDefault="004A4C57" w:rsidP="0069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74822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595CBD" w14:textId="32EFB244" w:rsidR="006969E5" w:rsidRDefault="006969E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5531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553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533FB56" w14:textId="77777777" w:rsidR="006969E5" w:rsidRDefault="00696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1DE68" w14:textId="77777777" w:rsidR="004A4C57" w:rsidRDefault="004A4C57" w:rsidP="006969E5">
      <w:r>
        <w:separator/>
      </w:r>
    </w:p>
  </w:footnote>
  <w:footnote w:type="continuationSeparator" w:id="0">
    <w:p w14:paraId="63F5AF3A" w14:textId="77777777" w:rsidR="004A4C57" w:rsidRDefault="004A4C57" w:rsidP="00696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F6C20"/>
    <w:multiLevelType w:val="hybridMultilevel"/>
    <w:tmpl w:val="485A0830"/>
    <w:lvl w:ilvl="0" w:tplc="9DF6949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40744"/>
    <w:multiLevelType w:val="hybridMultilevel"/>
    <w:tmpl w:val="D6EC9912"/>
    <w:lvl w:ilvl="0" w:tplc="9DF6949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3BxGmFuamRmYmSjpKwanFxZn5eSAFxrUAnEHoGiwAAAA="/>
  </w:docVars>
  <w:rsids>
    <w:rsidRoot w:val="00C67808"/>
    <w:rsid w:val="001A339F"/>
    <w:rsid w:val="003A6FB5"/>
    <w:rsid w:val="00493DFA"/>
    <w:rsid w:val="004A4C57"/>
    <w:rsid w:val="004B44BB"/>
    <w:rsid w:val="005D4944"/>
    <w:rsid w:val="006012DE"/>
    <w:rsid w:val="006969E5"/>
    <w:rsid w:val="00744439"/>
    <w:rsid w:val="007B0108"/>
    <w:rsid w:val="00855319"/>
    <w:rsid w:val="00934B8F"/>
    <w:rsid w:val="00951236"/>
    <w:rsid w:val="00B20CDA"/>
    <w:rsid w:val="00C67808"/>
    <w:rsid w:val="00CD70EF"/>
    <w:rsid w:val="00CD7BE1"/>
    <w:rsid w:val="00DD7636"/>
    <w:rsid w:val="00E40A09"/>
    <w:rsid w:val="00FD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03C8C"/>
  <w15:chartTrackingRefBased/>
  <w15:docId w15:val="{1745F62A-DB6C-4DE1-84DB-9B0AE7E3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B8F"/>
    <w:rPr>
      <w:rFonts w:ascii="Arial" w:eastAsia="Times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1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10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01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69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9E5"/>
    <w:rPr>
      <w:rFonts w:ascii="Arial" w:eastAsia="Times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969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9E5"/>
    <w:rPr>
      <w:rFonts w:ascii="Arial" w:eastAsia="Times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2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236"/>
    <w:rPr>
      <w:rFonts w:ascii="Segoe UI" w:eastAsia="Times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D7B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" TargetMode="External"/><Relationship Id="rId13" Type="http://schemas.openxmlformats.org/officeDocument/2006/relationships/hyperlink" Target="https://www.cdph.ca.gov/Programs/CID/DCDC/CDPH%20Document%20Library/COVID-19/Guidance-for-Face-Coverings_06-18-2020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dph.ca.gov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osha.gov/Publications/OSHA399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vid19.ca.gov/industry-guidanc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sha.gov/SLTC/covid-19/" TargetMode="External"/><Relationship Id="rId10" Type="http://schemas.openxmlformats.org/officeDocument/2006/relationships/hyperlink" Target="https://www.ca.gov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dc.gov/coronavirus/2019-ncov/index.html" TargetMode="External"/><Relationship Id="rId14" Type="http://schemas.openxmlformats.org/officeDocument/2006/relationships/hyperlink" Target="http://www.osh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B0856-94DF-4997-8C78-01A46A10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Meyers</dc:creator>
  <cp:keywords/>
  <dc:description/>
  <cp:lastModifiedBy>Nancy Anderson</cp:lastModifiedBy>
  <cp:revision>2</cp:revision>
  <dcterms:created xsi:type="dcterms:W3CDTF">2020-08-03T20:24:00Z</dcterms:created>
  <dcterms:modified xsi:type="dcterms:W3CDTF">2020-08-03T20:24:00Z</dcterms:modified>
</cp:coreProperties>
</file>